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2-1604-2806</w:t>
      </w:r>
      <w:r>
        <w:rPr>
          <w:rFonts w:ascii="Times New Roman" w:eastAsia="Times New Roman" w:hAnsi="Times New Roman" w:cs="Times New Roman"/>
        </w:rPr>
        <w:t>/2025</w:t>
      </w:r>
    </w:p>
    <w:p>
      <w:pPr>
        <w:spacing w:before="0" w:after="200"/>
        <w:jc w:val="right"/>
      </w:pPr>
      <w:r>
        <w:rPr>
          <w:rFonts w:ascii="Times New Roman" w:eastAsia="Times New Roman" w:hAnsi="Times New Roman" w:cs="Times New Roman"/>
        </w:rPr>
        <w:t>УИД 86MS0080-01-2025-002668-85</w:t>
      </w:r>
    </w:p>
    <w:p>
      <w:pPr>
        <w:widowControl w:val="0"/>
        <w:spacing w:before="0" w:after="0"/>
      </w:pP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РЕЗОЛЮТИВНАЯ ЧАСТЬ РЕШЕНИЯ</w:t>
      </w:r>
    </w:p>
    <w:p>
      <w:pPr>
        <w:widowControl w:val="0"/>
        <w:spacing w:before="0" w:after="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tabs>
          <w:tab w:val="left" w:pos="6953"/>
        </w:tabs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июля 2025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0rplc-3"/>
          <w:rFonts w:ascii="Times New Roman" w:eastAsia="Times New Roman" w:hAnsi="Times New Roman" w:cs="Times New Roman"/>
          <w:sz w:val="28"/>
          <w:szCs w:val="28"/>
        </w:rPr>
        <w:t>адрес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</w:rPr>
        <w:t>ровой судья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ого округа-Югры </w:t>
      </w:r>
      <w:r>
        <w:rPr>
          <w:rStyle w:val="cat-FIOgrp-7rplc-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исполняющий обязанности м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рового судьи судебного участка № 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</w:t>
      </w:r>
      <w:r>
        <w:rPr>
          <w:rFonts w:ascii="Times New Roman" w:eastAsia="Times New Roman" w:hAnsi="Times New Roman" w:cs="Times New Roman"/>
          <w:sz w:val="28"/>
          <w:szCs w:val="28"/>
        </w:rPr>
        <w:t>ого округа-Югры,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секретаре судебных заседаний </w:t>
      </w:r>
      <w:r>
        <w:rPr>
          <w:rStyle w:val="cat-FIOgrp-8rplc-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открытом судебном заседании гражданское дело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 исковому заявлению </w:t>
      </w:r>
      <w:r>
        <w:rPr>
          <w:rStyle w:val="cat-OrganizationNamegrp-21rplc-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Кобилинскому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0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 взыскании задолженности по договору займа,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статьями 194-199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Гражданского процессуального кодекса Российской Федерации, мировой судья</w:t>
      </w:r>
    </w:p>
    <w:p>
      <w:pPr>
        <w:spacing w:before="0" w:after="0"/>
        <w:ind w:firstLine="567"/>
        <w:jc w:val="both"/>
        <w:rPr>
          <w:sz w:val="28"/>
          <w:szCs w:val="28"/>
        </w:rPr>
      </w:pPr>
    </w:p>
    <w:p>
      <w:pPr>
        <w:widowControl w:val="0"/>
        <w:spacing w:before="120" w:after="120"/>
        <w:ind w:firstLine="567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OrganizationNamegrp-21rplc-11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eastAsia="Times New Roman" w:hAnsi="Times New Roman" w:cs="Times New Roman"/>
          <w:sz w:val="28"/>
          <w:szCs w:val="28"/>
        </w:rPr>
        <w:t>Кобилинскому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5rplc-13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з</w:t>
      </w:r>
      <w:r>
        <w:rPr>
          <w:rFonts w:ascii="Times New Roman" w:eastAsia="Times New Roman" w:hAnsi="Times New Roman" w:cs="Times New Roman"/>
          <w:sz w:val="28"/>
          <w:szCs w:val="28"/>
        </w:rPr>
        <w:t>адолженности по договору займа –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</w:t>
      </w:r>
      <w:r>
        <w:rPr>
          <w:rFonts w:ascii="Times New Roman" w:eastAsia="Times New Roman" w:hAnsi="Times New Roman" w:cs="Times New Roman"/>
          <w:sz w:val="28"/>
          <w:szCs w:val="28"/>
        </w:rPr>
        <w:t>летворить частично.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eastAsia="Times New Roman" w:hAnsi="Times New Roman" w:cs="Times New Roman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sz w:val="28"/>
          <w:szCs w:val="28"/>
        </w:rPr>
        <w:t>обилинского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UserDefinedgrp-26rplc-1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Style w:val="cat-PassportDatagrp-20rplc-16"/>
          <w:rFonts w:ascii="Times New Roman" w:eastAsia="Times New Roman" w:hAnsi="Times New Roman" w:cs="Times New Roman"/>
          <w:sz w:val="28"/>
          <w:szCs w:val="28"/>
        </w:rPr>
        <w:t>паспортные данные</w:t>
      </w:r>
      <w:r>
        <w:rPr>
          <w:rStyle w:val="cat-ExternalSystemDefinedgrp-24rplc-17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в пользу </w:t>
      </w:r>
      <w:r>
        <w:rPr>
          <w:rStyle w:val="cat-OrganizationNamegrp-21rplc-18"/>
          <w:rFonts w:ascii="Times New Roman" w:eastAsia="Times New Roman" w:hAnsi="Times New Roman" w:cs="Times New Roman"/>
          <w:sz w:val="28"/>
          <w:szCs w:val="28"/>
        </w:rPr>
        <w:t>наименование организации</w:t>
      </w:r>
      <w:r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(ОГРН 1148602007840, ИНН 8602219436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задолженность по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договору займа № </w:t>
      </w:r>
      <w:r>
        <w:rPr>
          <w:rStyle w:val="cat-UserDefinedgrp-27rplc-1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</w:t>
      </w:r>
      <w:r>
        <w:rPr>
          <w:rStyle w:val="cat-UserDefinedgrp-28rplc-2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в разме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 </w:t>
      </w:r>
      <w:r>
        <w:rPr>
          <w:rStyle w:val="cat-Sumgrp-12rplc-24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в том числе,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3rplc-25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основной долг,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Style w:val="cat-Sumgrp-14rplc-26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проценты за пользование займом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Sumgrp-15rplc-2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пени, расходы по оплате юридических услуг в размере </w:t>
      </w:r>
      <w:r>
        <w:rPr>
          <w:rStyle w:val="cat-Sumgrp-16rplc-28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расходы по оплате государ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ственной пошлины в размере </w:t>
      </w:r>
      <w:r>
        <w:rPr>
          <w:rStyle w:val="cat-Sumgrp-17rplc-29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почтовые расходы </w:t>
      </w:r>
      <w:r>
        <w:rPr>
          <w:rStyle w:val="cat-Sumgrp-18rplc-30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всего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</w:t>
      </w:r>
      <w:r>
        <w:rPr>
          <w:rStyle w:val="cat-Sumgrp-19rplc-31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Лица, участвующие в деле, вправе подать заявления о составлении мотивированного решения суда: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1).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</w:rPr>
        <w:t>2).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может быть обжаловано в апелляционном порядке в Ханты-Мансийский районный суд </w:t>
      </w:r>
      <w:r>
        <w:rPr>
          <w:rStyle w:val="cat-Addressgrp-2rplc-3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Style w:val="cat-Addressgrp-3rplc-33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течение месяца со дня принятия решения в окончательной форме, путем подачи апелляционной жалобы миро</w:t>
      </w:r>
      <w:r>
        <w:rPr>
          <w:rFonts w:ascii="Times New Roman" w:eastAsia="Times New Roman" w:hAnsi="Times New Roman" w:cs="Times New Roman"/>
          <w:sz w:val="28"/>
          <w:szCs w:val="28"/>
        </w:rPr>
        <w:t>вому судье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судебного </w:t>
      </w:r>
      <w:r>
        <w:rPr>
          <w:rStyle w:val="cat-Addressgrp-1rplc-34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автономного округа-Югры.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>
        <w:rPr>
          <w:rStyle w:val="cat-FIOgrp-11rplc-35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Копия верна.</w:t>
      </w:r>
    </w:p>
    <w:p>
      <w:pPr>
        <w:widowControl w:val="0"/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</w:t>
      </w:r>
      <w:r>
        <w:rPr>
          <w:rStyle w:val="cat-FIOgrp-11rplc-36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widowControl w:val="0"/>
        <w:spacing w:before="0" w:after="0"/>
        <w:jc w:val="both"/>
        <w:rPr>
          <w:sz w:val="28"/>
          <w:szCs w:val="28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p>
      <w:pPr>
        <w:spacing w:before="0" w:after="160" w:line="252" w:lineRule="auto"/>
        <w:rPr>
          <w:sz w:val="22"/>
          <w:szCs w:val="22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3240800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3">
    <w:name w:val="cat-Address grp-0 rplc-3"/>
    <w:basedOn w:val="DefaultParagraphFont"/>
  </w:style>
  <w:style w:type="character" w:customStyle="1" w:styleId="cat-Addressgrp-1rplc-4">
    <w:name w:val="cat-Address grp-1 rplc-4"/>
    <w:basedOn w:val="DefaultParagraphFont"/>
  </w:style>
  <w:style w:type="character" w:customStyle="1" w:styleId="cat-FIOgrp-7rplc-5">
    <w:name w:val="cat-FIO grp-7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FIOgrp-8rplc-7">
    <w:name w:val="cat-FIO grp-8 rplc-7"/>
    <w:basedOn w:val="DefaultParagraphFont"/>
  </w:style>
  <w:style w:type="character" w:customStyle="1" w:styleId="cat-OrganizationNamegrp-21rplc-8">
    <w:name w:val="cat-OrganizationName grp-21 rplc-8"/>
    <w:basedOn w:val="DefaultParagraphFont"/>
  </w:style>
  <w:style w:type="character" w:customStyle="1" w:styleId="cat-UserDefinedgrp-25rplc-10">
    <w:name w:val="cat-UserDefined grp-25 rplc-10"/>
    <w:basedOn w:val="DefaultParagraphFont"/>
  </w:style>
  <w:style w:type="character" w:customStyle="1" w:styleId="cat-OrganizationNamegrp-21rplc-11">
    <w:name w:val="cat-OrganizationName grp-21 rplc-11"/>
    <w:basedOn w:val="DefaultParagraphFont"/>
  </w:style>
  <w:style w:type="character" w:customStyle="1" w:styleId="cat-UserDefinedgrp-25rplc-13">
    <w:name w:val="cat-UserDefined grp-25 rplc-13"/>
    <w:basedOn w:val="DefaultParagraphFont"/>
  </w:style>
  <w:style w:type="character" w:customStyle="1" w:styleId="cat-UserDefinedgrp-26rplc-15">
    <w:name w:val="cat-UserDefined grp-26 rplc-15"/>
    <w:basedOn w:val="DefaultParagraphFont"/>
  </w:style>
  <w:style w:type="character" w:customStyle="1" w:styleId="cat-PassportDatagrp-20rplc-16">
    <w:name w:val="cat-PassportData grp-20 rplc-16"/>
    <w:basedOn w:val="DefaultParagraphFont"/>
  </w:style>
  <w:style w:type="character" w:customStyle="1" w:styleId="cat-ExternalSystemDefinedgrp-24rplc-17">
    <w:name w:val="cat-ExternalSystemDefined grp-24 rplc-17"/>
    <w:basedOn w:val="DefaultParagraphFont"/>
  </w:style>
  <w:style w:type="character" w:customStyle="1" w:styleId="cat-OrganizationNamegrp-21rplc-18">
    <w:name w:val="cat-OrganizationName grp-21 rplc-18"/>
    <w:basedOn w:val="DefaultParagraphFont"/>
  </w:style>
  <w:style w:type="character" w:customStyle="1" w:styleId="cat-UserDefinedgrp-27rplc-19">
    <w:name w:val="cat-UserDefined grp-27 rplc-19"/>
    <w:basedOn w:val="DefaultParagraphFont"/>
  </w:style>
  <w:style w:type="character" w:customStyle="1" w:styleId="cat-UserDefinedgrp-28rplc-21">
    <w:name w:val="cat-UserDefined grp-28 rplc-21"/>
    <w:basedOn w:val="DefaultParagraphFont"/>
  </w:style>
  <w:style w:type="character" w:customStyle="1" w:styleId="cat-Sumgrp-12rplc-24">
    <w:name w:val="cat-Sum grp-12 rplc-24"/>
    <w:basedOn w:val="DefaultParagraphFont"/>
  </w:style>
  <w:style w:type="character" w:customStyle="1" w:styleId="cat-Sumgrp-13rplc-25">
    <w:name w:val="cat-Sum grp-13 rplc-25"/>
    <w:basedOn w:val="DefaultParagraphFont"/>
  </w:style>
  <w:style w:type="character" w:customStyle="1" w:styleId="cat-Sumgrp-14rplc-26">
    <w:name w:val="cat-Sum grp-14 rplc-26"/>
    <w:basedOn w:val="DefaultParagraphFont"/>
  </w:style>
  <w:style w:type="character" w:customStyle="1" w:styleId="cat-Sumgrp-15rplc-27">
    <w:name w:val="cat-Sum grp-15 rplc-27"/>
    <w:basedOn w:val="DefaultParagraphFont"/>
  </w:style>
  <w:style w:type="character" w:customStyle="1" w:styleId="cat-Sumgrp-16rplc-28">
    <w:name w:val="cat-Sum grp-16 rplc-28"/>
    <w:basedOn w:val="DefaultParagraphFont"/>
  </w:style>
  <w:style w:type="character" w:customStyle="1" w:styleId="cat-Sumgrp-17rplc-29">
    <w:name w:val="cat-Sum grp-17 rplc-29"/>
    <w:basedOn w:val="DefaultParagraphFont"/>
  </w:style>
  <w:style w:type="character" w:customStyle="1" w:styleId="cat-Sumgrp-18rplc-30">
    <w:name w:val="cat-Sum grp-18 rplc-30"/>
    <w:basedOn w:val="DefaultParagraphFont"/>
  </w:style>
  <w:style w:type="character" w:customStyle="1" w:styleId="cat-Sumgrp-19rplc-31">
    <w:name w:val="cat-Sum grp-19 rplc-31"/>
    <w:basedOn w:val="DefaultParagraphFont"/>
  </w:style>
  <w:style w:type="character" w:customStyle="1" w:styleId="cat-Addressgrp-2rplc-32">
    <w:name w:val="cat-Address grp-2 rplc-32"/>
    <w:basedOn w:val="DefaultParagraphFont"/>
  </w:style>
  <w:style w:type="character" w:customStyle="1" w:styleId="cat-Addressgrp-3rplc-33">
    <w:name w:val="cat-Address grp-3 rplc-33"/>
    <w:basedOn w:val="DefaultParagraphFont"/>
  </w:style>
  <w:style w:type="character" w:customStyle="1" w:styleId="cat-Addressgrp-1rplc-34">
    <w:name w:val="cat-Address grp-1 rplc-34"/>
    <w:basedOn w:val="DefaultParagraphFont"/>
  </w:style>
  <w:style w:type="character" w:customStyle="1" w:styleId="cat-FIOgrp-11rplc-35">
    <w:name w:val="cat-FIO grp-11 rplc-35"/>
    <w:basedOn w:val="DefaultParagraphFont"/>
  </w:style>
  <w:style w:type="character" w:customStyle="1" w:styleId="cat-FIOgrp-11rplc-36">
    <w:name w:val="cat-FIO grp-11 rplc-36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E757DC-3FA2-482B-9034-88CE23F52532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